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51" w:type="dxa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  <w:vAlign w:val="top"/>
          </w:tcPr>
          <w:p>
            <w:pPr>
              <w:keepNext/>
              <w:keepLines/>
              <w:jc w:val="center"/>
              <w:outlineLvl w:val="0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bookmarkStart w:id="2" w:name="_GoBack"/>
            <w:bookmarkEnd w:id="2"/>
            <w:bookmarkStart w:id="0" w:name="bookmark0"/>
          </w:p>
        </w:tc>
        <w:tc>
          <w:tcPr>
            <w:tcW w:w="4616" w:type="dxa"/>
            <w:shd w:val="clear" w:color="auto" w:fill="auto"/>
            <w:vAlign w:val="top"/>
          </w:tcPr>
          <w:p>
            <w:pPr>
              <w:keepNext/>
              <w:keepLines/>
              <w:outlineLvl w:val="0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Утверждено 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приказом председатель Контрольно-счетной палаты Рязанской области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>от  03.09.2015 г. № 78</w:t>
            </w:r>
          </w:p>
        </w:tc>
      </w:tr>
    </w:tbl>
    <w:p>
      <w:pPr>
        <w:keepNext/>
        <w:keepLines/>
        <w:ind w:left="420"/>
        <w:jc w:val="center"/>
        <w:outlineLvl w:val="0"/>
        <w:rPr>
          <w:rFonts w:ascii="Times New Roman" w:hAnsi="Times New Roman" w:eastAsia="Times New Roman"/>
          <w:bCs/>
          <w:sz w:val="26"/>
          <w:szCs w:val="26"/>
          <w:lang w:eastAsia="ru-RU"/>
        </w:rPr>
      </w:pPr>
    </w:p>
    <w:p>
      <w:pPr>
        <w:keepNext/>
        <w:keepLines/>
        <w:ind w:left="420"/>
        <w:jc w:val="center"/>
        <w:outlineLvl w:val="0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</w:p>
    <w:p>
      <w:pPr>
        <w:keepNext/>
        <w:keepLines/>
        <w:ind w:left="420"/>
        <w:jc w:val="center"/>
        <w:outlineLvl w:val="0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>Перечень мер,</w:t>
      </w:r>
    </w:p>
    <w:p>
      <w:pPr>
        <w:keepNext/>
        <w:keepLines/>
        <w:ind w:left="420"/>
        <w:jc w:val="center"/>
        <w:outlineLvl w:val="0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направленных на привлечение государственных </w:t>
      </w:r>
      <w:bookmarkEnd w:id="0"/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гражданских служащих Контрольно-счетной палаты Рязанской области </w:t>
      </w:r>
      <w:bookmarkStart w:id="1" w:name="bookmark1"/>
    </w:p>
    <w:p>
      <w:pPr>
        <w:keepNext/>
        <w:keepLines/>
        <w:ind w:left="420"/>
        <w:jc w:val="center"/>
        <w:outlineLvl w:val="0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>к противодействию коррупции</w:t>
      </w:r>
      <w:bookmarkEnd w:id="1"/>
    </w:p>
    <w:p>
      <w:pPr>
        <w:keepNext/>
        <w:keepLines/>
        <w:spacing w:after="60"/>
        <w:ind w:left="420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3"/>
        <w:tblW w:w="9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8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6" w:lineRule="exact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>I. Привлечение государственных гражданских служащих к участию в обсуждении и разработке локальных нормативных актов по вопросам противодействия коррупции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4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Информирование государственных гражданских служащих о возможности участия в подготовке проектов актов по вопросам противодействия коррупции и проведение при необходимости рабочих встреч, заседаний комиссии в целях организации обсуждения полученных предложений государственных гражданских служащих по проектам актов.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4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1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Проведение не реже одного раза в год обсуждений практики применения антикоррупционного законодательства с государственными гражданскими служащими. 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</w:p>
    <w:tbl>
      <w:tblPr>
        <w:tblStyle w:val="3"/>
        <w:tblW w:w="9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0"/>
        <w:gridCol w:w="48"/>
        <w:gridCol w:w="8201"/>
      </w:tblGrid>
      <w:tr>
        <w:tblPrEx>
          <w:tblLayout w:type="fixed"/>
        </w:tblPrEx>
        <w:trPr>
          <w:trHeight w:val="1224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6" w:lineRule="exact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II.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 xml:space="preserve"> Активизация участия государственных гражданских служащих в работе комиссий по соблюдению требований к служебному поведению и урегулированию конфликта интересов, аттестационной комиссии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8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35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Привлечение к участию в работе комиссии по соблюдению требовании к служебному поведению и урегулированию конфликта интересов государственных гражданских служащих представителей структурных подразделений Контрольно-счетной палаты.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8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35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8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54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Информирование государственных гражданских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left" w:leader="hyphen" w:pos="149"/>
                <w:tab w:val="left" w:leader="hyphen" w:pos="1037"/>
                <w:tab w:val="left" w:leader="hyphen" w:pos="3384"/>
              </w:tabs>
              <w:spacing w:after="60"/>
              <w:ind w:left="1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ab/>
            </w:r>
          </w:p>
          <w:p>
            <w:pPr>
              <w:spacing w:before="60" w:line="226" w:lineRule="exact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III.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 xml:space="preserve"> Стимулирование государственных гражданских служащих к предоставлению информации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об 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>известных им случаях коррупционных правонарушений, нарушений требований к служебному поведению,</w:t>
            </w:r>
          </w:p>
          <w:p>
            <w:pPr>
              <w:spacing w:line="226" w:lineRule="exact"/>
              <w:jc w:val="center"/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>ситуациях конфликта интересов</w:t>
            </w:r>
          </w:p>
          <w:p>
            <w:pPr>
              <w:spacing w:line="226" w:lineRule="exact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8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1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Закрепление в локальном акте, устанавливающем порядок уведомления председателя Контрольно-счетной палаты об обращении к государственным гражданским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16" w:lineRule="exact"/>
              <w:ind w:firstLine="42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Разъяснение порядка уведомления председателя Контрольно-счетной палаты об обращении к государственным гражданским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11" w:lineRule="exact"/>
              <w:ind w:firstLine="42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Доведение до сведения государственных гражданских служащих, что они не только должны уведомлять председателя Контрольно-счетной палаты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11" w:lineRule="exact"/>
              <w:ind w:firstLine="42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Закрепление в локальных нормативных актах, устанавливающих порядок и виды поощрения и награждения Контрольно-счетной палаты, специального вида поощрения лицу, способствующему раскрытию правонарушения коррупционной направленности.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6" w:lineRule="exact"/>
              <w:ind w:left="520" w:hanging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IV.</w:t>
            </w: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 xml:space="preserve"> Просвещение государственных гражданских служащих по антикоррупционной тематике и методическое обеспечение профессиональной служебной деятельности государственных</w:t>
            </w:r>
          </w:p>
          <w:p>
            <w:pPr>
              <w:spacing w:line="226" w:lineRule="exact"/>
              <w:ind w:left="318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6"/>
                <w:szCs w:val="26"/>
                <w:lang w:eastAsia="ru-RU"/>
              </w:rPr>
              <w:t>гражданских служащих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6" w:lineRule="exact"/>
              <w:ind w:firstLine="42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Разработка памяток по ключевым вопросам противодействия коррупции.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2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0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Обеспечение организации различных видов учебных семинаров по вопросам противодействия коррупции:</w:t>
            </w:r>
          </w:p>
          <w:p>
            <w:pPr>
              <w:numPr>
                <w:ilvl w:val="0"/>
                <w:numId w:val="1"/>
              </w:numPr>
              <w:tabs>
                <w:tab w:val="left" w:pos="655"/>
              </w:tabs>
              <w:spacing w:line="22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вводного семинара для граждан, впервые поступивших на государственную (муниципальную) службу;</w:t>
            </w:r>
          </w:p>
          <w:p>
            <w:pPr>
              <w:numPr>
                <w:ilvl w:val="0"/>
                <w:numId w:val="1"/>
              </w:numPr>
              <w:tabs>
                <w:tab w:val="left" w:pos="661"/>
              </w:tabs>
              <w:spacing w:line="22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регулярных семинаров по ключевым вопросам противодействия коррупции;</w:t>
            </w:r>
          </w:p>
          <w:p>
            <w:pPr>
              <w:numPr>
                <w:ilvl w:val="0"/>
                <w:numId w:val="1"/>
              </w:numPr>
              <w:tabs>
                <w:tab w:val="left" w:pos="661"/>
              </w:tabs>
              <w:spacing w:line="22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специальных семинаров в случае существенных изменений законодательства в сфере противодействия коррупции, затрагивающих государственных гражданских служащих.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ind w:left="42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16" w:lineRule="exact"/>
              <w:ind w:firstLine="460"/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Проведение регулярной работы по разъяснению исполнения требований антикоррупционного законодательства государственным гражданским служащими, увольняющимися с государственной гражданской службы, чьи должности входили в перечень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должностей государственной гражданской службы Рязанской области в Контрольно-счетной палате Рязанской области, при назначении на которые граждане и при замещении которых государственные гражданские служащие Контрольно-счетной палаты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>приказом председателя Контрольно-счетной палаты Рязанской области от 06 марта 2012 г. № 10.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 w:tentative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2"/>
    <w:rsid w:val="00024C82"/>
    <w:rsid w:val="00044F24"/>
    <w:rsid w:val="000D4736"/>
    <w:rsid w:val="0031434A"/>
    <w:rsid w:val="00325EDF"/>
    <w:rsid w:val="005336B1"/>
    <w:rsid w:val="006231BE"/>
    <w:rsid w:val="006F0E35"/>
    <w:rsid w:val="007B4BCF"/>
    <w:rsid w:val="00BB7752"/>
    <w:rsid w:val="00BE65D2"/>
    <w:rsid w:val="00D32F5B"/>
    <w:rsid w:val="00D53199"/>
    <w:rsid w:val="00DD73AC"/>
    <w:rsid w:val="00F44F04"/>
    <w:rsid w:val="306E2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766</Words>
  <Characters>4368</Characters>
  <Lines>36</Lines>
  <Paragraphs>10</Paragraphs>
  <ScaleCrop>false</ScaleCrop>
  <LinksUpToDate>false</LinksUpToDate>
  <CharactersWithSpaces>5124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2018-01-23T10:04:00Z</dcterms:created>
  <dc:creator>user</dc:creator>
  <cp:lastModifiedBy>admin</cp:lastModifiedBy>
  <cp:lastPrinted>2015-03-17T11:50:00Z</cp:lastPrinted>
  <dcterms:modified xsi:type="dcterms:W3CDTF">2018-03-20T09:11:11Z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